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0C8E" w14:textId="77777777" w:rsidR="00085A76" w:rsidRDefault="00651C32">
      <w:pPr>
        <w:jc w:val="center"/>
        <w:outlineLvl w:val="0"/>
        <w:rPr>
          <w:rFonts w:ascii="等线" w:hAnsi="等线" w:cs="等线"/>
          <w:b/>
          <w:bCs/>
          <w:color w:val="000000" w:themeColor="text1"/>
          <w:sz w:val="28"/>
          <w:szCs w:val="36"/>
        </w:rPr>
      </w:pPr>
      <w:r>
        <w:rPr>
          <w:rFonts w:ascii="等线" w:hAnsi="等线" w:cs="等线" w:hint="eastAsia"/>
          <w:b/>
          <w:bCs/>
          <w:color w:val="000000" w:themeColor="text1"/>
          <w:sz w:val="28"/>
          <w:szCs w:val="36"/>
        </w:rPr>
        <w:t>温氏股份环境管理政策</w:t>
      </w:r>
    </w:p>
    <w:p w14:paraId="7EF49C54" w14:textId="77777777" w:rsidR="00085A76" w:rsidRDefault="00085A76"/>
    <w:p w14:paraId="091E456B" w14:textId="77777777" w:rsidR="00085A76" w:rsidRDefault="00651C32">
      <w:pPr>
        <w:numPr>
          <w:ilvl w:val="0"/>
          <w:numId w:val="5"/>
        </w:numPr>
        <w:ind w:firstLine="0"/>
        <w:outlineLvl w:val="0"/>
        <w:rPr>
          <w:b/>
          <w:bCs/>
          <w:sz w:val="24"/>
          <w:szCs w:val="32"/>
        </w:rPr>
      </w:pPr>
      <w:r>
        <w:rPr>
          <w:rFonts w:hint="eastAsia"/>
          <w:b/>
          <w:bCs/>
          <w:sz w:val="24"/>
          <w:szCs w:val="32"/>
        </w:rPr>
        <w:t>概述</w:t>
      </w:r>
    </w:p>
    <w:p w14:paraId="6959D9EF" w14:textId="3080D3B1" w:rsidR="00085A76" w:rsidRDefault="00651C32">
      <w:r>
        <w:rPr>
          <w:rFonts w:hint="eastAsia"/>
        </w:rPr>
        <w:t>中国将碳达峰、碳中和纳入生态文明建设整体布局，推进节能减排、打造循环经济，已经成为当前政府工作的重中之重。气候变化、环境污染、资源匮乏等生态问题正日益影响着企业的生存与发展，如何以绿色环保、生态友好的方式减少经营活动对环境造成的负面影响，已成为企业可持续经营与发展的必然要求。温氏食品集团股份有限公司（以下简称“温氏股份”或“公司”）响应国家和地方政府政策，秉持“绿水青山就是金山银山”的绿色发展理念，积极完善环保管理体系，采取综合措施减少运营过程的碳排放提升能源使用效率，打造绿色生态健康、生态文明建设的养殖业，为</w:t>
      </w:r>
      <w:r w:rsidR="00013B6D">
        <w:rPr>
          <w:rFonts w:hint="eastAsia"/>
        </w:rPr>
        <w:t>解决</w:t>
      </w:r>
      <w:r>
        <w:rPr>
          <w:rFonts w:hint="eastAsia"/>
        </w:rPr>
        <w:t>生态问题做出自身贡献。</w:t>
      </w:r>
    </w:p>
    <w:p w14:paraId="370A8B47" w14:textId="77777777" w:rsidR="00085A76" w:rsidRDefault="00085A76"/>
    <w:p w14:paraId="2A8DFA63" w14:textId="77777777" w:rsidR="00085A76" w:rsidRDefault="00651C32">
      <w:pPr>
        <w:numPr>
          <w:ilvl w:val="0"/>
          <w:numId w:val="5"/>
        </w:numPr>
        <w:ind w:firstLine="0"/>
        <w:outlineLvl w:val="0"/>
        <w:rPr>
          <w:b/>
          <w:bCs/>
          <w:sz w:val="24"/>
          <w:szCs w:val="32"/>
        </w:rPr>
      </w:pPr>
      <w:r>
        <w:rPr>
          <w:rFonts w:hint="eastAsia"/>
          <w:b/>
          <w:bCs/>
          <w:sz w:val="24"/>
          <w:szCs w:val="32"/>
        </w:rPr>
        <w:t>适用范围</w:t>
      </w:r>
    </w:p>
    <w:p w14:paraId="23CB6868" w14:textId="77777777" w:rsidR="00085A76" w:rsidRDefault="00651C32">
      <w:r>
        <w:rPr>
          <w:rFonts w:hint="eastAsia"/>
        </w:rPr>
        <w:t>本政策适用于温氏股份及下属分子公司。</w:t>
      </w:r>
    </w:p>
    <w:p w14:paraId="4D711959" w14:textId="77777777" w:rsidR="00085A76" w:rsidRDefault="00085A76"/>
    <w:p w14:paraId="06E654AF" w14:textId="77777777" w:rsidR="00085A76" w:rsidRDefault="00651C32">
      <w:pPr>
        <w:numPr>
          <w:ilvl w:val="0"/>
          <w:numId w:val="5"/>
        </w:numPr>
        <w:ind w:firstLine="0"/>
        <w:outlineLvl w:val="0"/>
        <w:rPr>
          <w:b/>
          <w:bCs/>
          <w:sz w:val="24"/>
          <w:szCs w:val="32"/>
        </w:rPr>
      </w:pPr>
      <w:r>
        <w:rPr>
          <w:rFonts w:hint="eastAsia"/>
          <w:b/>
          <w:bCs/>
          <w:sz w:val="24"/>
          <w:szCs w:val="32"/>
        </w:rPr>
        <w:t>管理体系与政策</w:t>
      </w:r>
    </w:p>
    <w:p w14:paraId="4D4B7FE3" w14:textId="77777777" w:rsidR="00085A76" w:rsidRDefault="00651C32">
      <w:r>
        <w:rPr>
          <w:rFonts w:hint="eastAsia"/>
        </w:rPr>
        <w:t>温氏股份长期践行绿色发展理念，按照健康养殖、资源循环、环境友好、节约高效的要求，构建环保管理体系，制定环保管理制度，提升环保合规水平。</w:t>
      </w:r>
    </w:p>
    <w:p w14:paraId="6475F7C9" w14:textId="77777777" w:rsidR="00085A76" w:rsidRDefault="00085A76"/>
    <w:p w14:paraId="1CAFCF6F" w14:textId="77777777" w:rsidR="00085A76" w:rsidRDefault="00651C32">
      <w:r>
        <w:rPr>
          <w:rFonts w:hint="eastAsia"/>
        </w:rPr>
        <w:t>集团研究院（技术中心）设置环境生态技术中心统筹集团环保管理工作，公司下属各事业部均设置有环境室，负责养殖过程中的环境管理相关事宜；公司总部设立有企业社会责任专职人员，负责环境管理相关信息、数据的收集和披露。</w:t>
      </w:r>
    </w:p>
    <w:p w14:paraId="1FB5A101" w14:textId="77777777" w:rsidR="00085A76" w:rsidRDefault="00085A76"/>
    <w:p w14:paraId="15EE6860" w14:textId="5426AFDA" w:rsidR="00085A76" w:rsidRDefault="00651C32">
      <w:r>
        <w:rPr>
          <w:rFonts w:hint="eastAsia"/>
        </w:rPr>
        <w:t>公司根据国家相关法律法规和畜禽养殖行业污染物防治技术规范，结合自身实际情况，制定了《环保管理制度》《环保工作管理实施细则》等内部规范。</w:t>
      </w:r>
    </w:p>
    <w:p w14:paraId="7626E983" w14:textId="77777777" w:rsidR="00085A76" w:rsidRDefault="00085A76"/>
    <w:p w14:paraId="4DD94119" w14:textId="77777777" w:rsidR="00085A76" w:rsidRDefault="00651C32">
      <w:r>
        <w:rPr>
          <w:rFonts w:hint="eastAsia"/>
        </w:rPr>
        <w:t>公司制定有《环保类事件应急预案》，以预防和减少突发环境事件的发生，控制、减轻和消除突发环境事件引起的灾害，保障公众生命安全、环境安全和财产安全。</w:t>
      </w:r>
    </w:p>
    <w:p w14:paraId="22A33553" w14:textId="77777777" w:rsidR="00085A76" w:rsidRDefault="00085A76"/>
    <w:p w14:paraId="6A417170" w14:textId="77777777" w:rsidR="00085A76" w:rsidRDefault="00651C32">
      <w:pPr>
        <w:numPr>
          <w:ilvl w:val="0"/>
          <w:numId w:val="5"/>
        </w:numPr>
        <w:ind w:firstLine="0"/>
        <w:outlineLvl w:val="0"/>
        <w:rPr>
          <w:b/>
          <w:bCs/>
          <w:sz w:val="24"/>
          <w:szCs w:val="32"/>
        </w:rPr>
      </w:pPr>
      <w:r>
        <w:rPr>
          <w:rFonts w:hint="eastAsia"/>
          <w:b/>
          <w:bCs/>
          <w:sz w:val="24"/>
          <w:szCs w:val="32"/>
        </w:rPr>
        <w:lastRenderedPageBreak/>
        <w:t>应对气候变化</w:t>
      </w:r>
    </w:p>
    <w:p w14:paraId="6BA9D00B" w14:textId="77777777" w:rsidR="00085A76" w:rsidRDefault="00651C32">
      <w:r>
        <w:rPr>
          <w:rFonts w:hint="eastAsia"/>
        </w:rPr>
        <w:t>温氏股份深刻认识到气候变暖对人类生存的影响，积极响应国家碳达峰、碳中和战略，注重减少生产、运营活动对环境的影响，通过一系列节能减碳措施实现对能源的合理利用，为应对气候变化贡献自身力量。</w:t>
      </w:r>
    </w:p>
    <w:p w14:paraId="6C9F2796" w14:textId="77777777" w:rsidR="00085A76" w:rsidRDefault="00085A76"/>
    <w:p w14:paraId="30BE8D6B" w14:textId="77777777" w:rsidR="00085A76" w:rsidRDefault="00651C32">
      <w:pPr>
        <w:numPr>
          <w:ilvl w:val="0"/>
          <w:numId w:val="6"/>
        </w:numPr>
        <w:outlineLvl w:val="1"/>
        <w:rPr>
          <w:b/>
          <w:bCs/>
        </w:rPr>
      </w:pPr>
      <w:r>
        <w:rPr>
          <w:rFonts w:hint="eastAsia"/>
          <w:b/>
          <w:bCs/>
        </w:rPr>
        <w:t>原料使用与物流运输</w:t>
      </w:r>
    </w:p>
    <w:p w14:paraId="19441951" w14:textId="77777777" w:rsidR="00085A76" w:rsidRDefault="00651C32">
      <w:pPr>
        <w:rPr>
          <w:rFonts w:ascii="等线" w:hAnsi="等线" w:cs="等线"/>
          <w:szCs w:val="21"/>
        </w:rPr>
      </w:pPr>
      <w:r>
        <w:rPr>
          <w:rFonts w:hint="eastAsia"/>
        </w:rPr>
        <w:t>温氏股份</w:t>
      </w:r>
      <w:r>
        <w:rPr>
          <w:rFonts w:ascii="等线" w:hAnsi="等线" w:cs="等线" w:hint="eastAsia"/>
          <w:szCs w:val="21"/>
        </w:rPr>
        <w:t>使用玉米、豆粕、棉粕、小麦麸等常规性的原料生产饲料，科学组合优化发挥原料的价值优势，积极推广应用低蛋白质日粮饲料技术，降低日粮蛋白质水平、减少氮排放。</w:t>
      </w:r>
    </w:p>
    <w:p w14:paraId="648BEAED" w14:textId="77777777" w:rsidR="00085A76" w:rsidRDefault="00085A76">
      <w:pPr>
        <w:rPr>
          <w:rFonts w:ascii="等线" w:hAnsi="等线" w:cs="等线"/>
          <w:szCs w:val="21"/>
        </w:rPr>
      </w:pPr>
    </w:p>
    <w:p w14:paraId="66C07045" w14:textId="77777777" w:rsidR="00085A76" w:rsidRDefault="00651C32">
      <w:pPr>
        <w:rPr>
          <w:rFonts w:ascii="等线" w:hAnsi="等线" w:cs="等线"/>
          <w:szCs w:val="21"/>
        </w:rPr>
      </w:pPr>
      <w:r>
        <w:rPr>
          <w:rFonts w:hint="eastAsia"/>
        </w:rPr>
        <w:t>温氏股份</w:t>
      </w:r>
      <w:r>
        <w:rPr>
          <w:rFonts w:ascii="等线" w:hAnsi="等线" w:cs="等线" w:hint="eastAsia"/>
          <w:szCs w:val="21"/>
        </w:rPr>
        <w:t>大力推广使用吨袋等大型包装原料及散装原料、集装箱等厢式运输，提高运输效率，降低运输损耗，提高包装物的循环使用力度，实现绿色高效运输。</w:t>
      </w:r>
    </w:p>
    <w:p w14:paraId="7F9FEFAA" w14:textId="77777777" w:rsidR="00085A76" w:rsidRDefault="00085A76">
      <w:pPr>
        <w:rPr>
          <w:color w:val="FF0000"/>
        </w:rPr>
      </w:pPr>
    </w:p>
    <w:p w14:paraId="35BA3C7A" w14:textId="77777777" w:rsidR="00085A76" w:rsidRDefault="00651C32">
      <w:pPr>
        <w:numPr>
          <w:ilvl w:val="0"/>
          <w:numId w:val="6"/>
        </w:numPr>
        <w:outlineLvl w:val="1"/>
        <w:rPr>
          <w:b/>
          <w:bCs/>
        </w:rPr>
      </w:pPr>
      <w:r>
        <w:rPr>
          <w:rFonts w:hint="eastAsia"/>
          <w:b/>
          <w:bCs/>
        </w:rPr>
        <w:t>能源消耗与碳排放</w:t>
      </w:r>
    </w:p>
    <w:p w14:paraId="44AEE791" w14:textId="67B588BF" w:rsidR="00085A76" w:rsidRDefault="00651C32">
      <w:pPr>
        <w:rPr>
          <w:rFonts w:ascii="等线" w:hAnsi="等线" w:cs="等线"/>
          <w:szCs w:val="21"/>
        </w:rPr>
      </w:pPr>
      <w:r>
        <w:rPr>
          <w:rFonts w:hint="eastAsia"/>
        </w:rPr>
        <w:t>温氏股份</w:t>
      </w:r>
      <w:r>
        <w:rPr>
          <w:rFonts w:ascii="等线" w:hAnsi="等线" w:cs="等线" w:hint="eastAsia"/>
          <w:szCs w:val="21"/>
        </w:rPr>
        <w:t>积极推广减少能源消耗、降低温室气体排放的措施和技术，一是采用生物质燃料及天然气等清洁能源替代燃煤，从源头减少二氧化硫和氮氧化物的排放；二是通过科学配方和高新技术改善饲料品质，提高畜禽营养利用率，减少畜禽养殖过程中的温室气体排放；三是将养殖场废水处理设施厌氧发酵过程中产生的沼气经脱硫后用于发电或员工生活用水加热、厨房燃料使用等，减少二氧化碳排放</w:t>
      </w:r>
      <w:r w:rsidR="00F05066">
        <w:rPr>
          <w:rFonts w:ascii="等线" w:hAnsi="等线" w:cs="等线" w:hint="eastAsia"/>
          <w:szCs w:val="21"/>
        </w:rPr>
        <w:t>，</w:t>
      </w:r>
      <w:r>
        <w:rPr>
          <w:rFonts w:ascii="等线" w:hAnsi="等线" w:cs="等线" w:hint="eastAsia"/>
          <w:szCs w:val="21"/>
        </w:rPr>
        <w:t>并将沼液、沼渣、有机肥等作为农用肥料回田，提升土壤有机质。</w:t>
      </w:r>
    </w:p>
    <w:p w14:paraId="04F677F3" w14:textId="77777777" w:rsidR="00085A76" w:rsidRDefault="00085A76">
      <w:pPr>
        <w:rPr>
          <w:rFonts w:ascii="等线" w:hAnsi="等线" w:cs="等线"/>
          <w:color w:val="000000" w:themeColor="text1"/>
        </w:rPr>
      </w:pPr>
    </w:p>
    <w:p w14:paraId="7E6469AF" w14:textId="77777777" w:rsidR="00085A76" w:rsidRDefault="00651C32">
      <w:pPr>
        <w:numPr>
          <w:ilvl w:val="0"/>
          <w:numId w:val="5"/>
        </w:numPr>
        <w:ind w:firstLine="0"/>
        <w:outlineLvl w:val="0"/>
        <w:rPr>
          <w:b/>
          <w:bCs/>
          <w:sz w:val="24"/>
          <w:szCs w:val="32"/>
        </w:rPr>
      </w:pPr>
      <w:r>
        <w:rPr>
          <w:rFonts w:hint="eastAsia"/>
          <w:b/>
          <w:bCs/>
          <w:sz w:val="24"/>
          <w:szCs w:val="32"/>
        </w:rPr>
        <w:t>绿色养殖</w:t>
      </w:r>
    </w:p>
    <w:p w14:paraId="6D37588E" w14:textId="77777777" w:rsidR="00085A76" w:rsidRDefault="00651C32">
      <w:pPr>
        <w:rPr>
          <w:rFonts w:ascii="等线" w:hAnsi="等线" w:cs="等线"/>
          <w:szCs w:val="21"/>
        </w:rPr>
      </w:pPr>
      <w:r>
        <w:rPr>
          <w:rFonts w:ascii="等线" w:hAnsi="等线" w:cs="等线" w:hint="eastAsia"/>
          <w:szCs w:val="21"/>
        </w:rPr>
        <w:t>温氏股份遵循“资源化、生态化、无害化、减量化”原则，打造绿色生态养殖模式，重视对水资源、土地资源的保护和可持续利用，把清洁生产、废弃物综合利用融为一体，构建种养结合、农牧循环的可持续发展新格局，助力美丽乡村建设。</w:t>
      </w:r>
    </w:p>
    <w:p w14:paraId="7F4D34B2" w14:textId="77777777" w:rsidR="00085A76" w:rsidRDefault="00085A76">
      <w:pPr>
        <w:rPr>
          <w:rFonts w:ascii="等线" w:hAnsi="等线" w:cs="等线"/>
          <w:szCs w:val="21"/>
        </w:rPr>
      </w:pPr>
    </w:p>
    <w:p w14:paraId="4FEB8D45" w14:textId="77777777" w:rsidR="00085A76" w:rsidRDefault="00651C32">
      <w:pPr>
        <w:numPr>
          <w:ilvl w:val="0"/>
          <w:numId w:val="7"/>
        </w:numPr>
        <w:outlineLvl w:val="1"/>
        <w:rPr>
          <w:b/>
          <w:bCs/>
        </w:rPr>
      </w:pPr>
      <w:r>
        <w:rPr>
          <w:rFonts w:hint="eastAsia"/>
          <w:b/>
          <w:bCs/>
        </w:rPr>
        <w:t>环保养殖场</w:t>
      </w:r>
    </w:p>
    <w:p w14:paraId="1A976C9B" w14:textId="77777777" w:rsidR="00085A76" w:rsidRDefault="00651C32">
      <w:pPr>
        <w:rPr>
          <w:rFonts w:ascii="等线" w:hAnsi="等线" w:cs="等线"/>
          <w:szCs w:val="21"/>
        </w:rPr>
      </w:pPr>
      <w:r>
        <w:rPr>
          <w:rFonts w:ascii="等线" w:hAnsi="等线" w:cs="等线" w:hint="eastAsia"/>
          <w:szCs w:val="21"/>
        </w:rPr>
        <w:t>温氏股份根据养殖场所在地区的资源环境承载能力，通过源头减量、过程控制、末端利用，加快养殖场转型升级和绿色发展，对改善生态环境和农村人居环境、促进大农业的结构优化升级。温氏股份的养殖场项目均严格执行“三同时”制度，按照环保要求进行配套，将清洁生</w:t>
      </w:r>
      <w:r>
        <w:rPr>
          <w:rFonts w:ascii="等线" w:hAnsi="等线" w:cs="等线" w:hint="eastAsia"/>
          <w:szCs w:val="21"/>
        </w:rPr>
        <w:lastRenderedPageBreak/>
        <w:t>产、污染物综合利用、生态设计和可持续发展践行到底。</w:t>
      </w:r>
    </w:p>
    <w:p w14:paraId="3E2E364C" w14:textId="77777777" w:rsidR="00085A76" w:rsidRDefault="00085A76">
      <w:pPr>
        <w:rPr>
          <w:rFonts w:ascii="等线" w:hAnsi="等线" w:cs="等线"/>
          <w:szCs w:val="21"/>
        </w:rPr>
      </w:pPr>
    </w:p>
    <w:p w14:paraId="0DE5E019" w14:textId="77777777" w:rsidR="00085A76" w:rsidRDefault="00651C32">
      <w:pPr>
        <w:numPr>
          <w:ilvl w:val="0"/>
          <w:numId w:val="7"/>
        </w:numPr>
        <w:outlineLvl w:val="1"/>
        <w:rPr>
          <w:b/>
          <w:bCs/>
        </w:rPr>
      </w:pPr>
      <w:r>
        <w:rPr>
          <w:rFonts w:hint="eastAsia"/>
          <w:b/>
          <w:bCs/>
        </w:rPr>
        <w:t>土地资源与水资源保护</w:t>
      </w:r>
    </w:p>
    <w:p w14:paraId="46D2D46E" w14:textId="77777777" w:rsidR="00085A76" w:rsidRDefault="00651C32">
      <w:pPr>
        <w:rPr>
          <w:rFonts w:ascii="等线" w:hAnsi="等线" w:cs="等线"/>
          <w:szCs w:val="21"/>
        </w:rPr>
      </w:pPr>
      <w:r>
        <w:rPr>
          <w:rFonts w:ascii="等线" w:hAnsi="等线" w:cs="等线" w:hint="eastAsia"/>
          <w:szCs w:val="21"/>
        </w:rPr>
        <w:t>在土地资源利用与生物多样性保护方面，温氏股份坚持可持续发展、因地制宜的原则，畜禽养殖场在选址上要求不破坏当地水源和生态系统，在施工和运营中要求不得随意破坏植被，确保植被覆盖率。</w:t>
      </w:r>
    </w:p>
    <w:p w14:paraId="212C6664" w14:textId="77777777" w:rsidR="00085A76" w:rsidRDefault="00085A76">
      <w:pPr>
        <w:rPr>
          <w:rFonts w:ascii="等线" w:hAnsi="等线" w:cs="等线"/>
          <w:szCs w:val="21"/>
        </w:rPr>
      </w:pPr>
    </w:p>
    <w:p w14:paraId="3F60C96B" w14:textId="1F6F7AF9" w:rsidR="00085A76" w:rsidRDefault="00651C32">
      <w:pPr>
        <w:rPr>
          <w:rFonts w:ascii="等线" w:hAnsi="等线" w:cs="等线"/>
          <w:szCs w:val="21"/>
        </w:rPr>
      </w:pPr>
      <w:r>
        <w:rPr>
          <w:rFonts w:ascii="等线" w:hAnsi="等线" w:cs="等线" w:hint="eastAsia"/>
          <w:szCs w:val="21"/>
        </w:rPr>
        <w:t>在水资源使用方面，温氏股份制定并实施加强源头减量和用水量考核的政策，在下属所有养殖场推广包括加强节水硬件配套，使用节水型饮水器；采用自动恒压供水、超高压冲洗专用水枪等节约用水技术，持续提升养殖场节水效果。</w:t>
      </w:r>
    </w:p>
    <w:p w14:paraId="7F1BE575" w14:textId="77777777" w:rsidR="00085A76" w:rsidRDefault="00085A76">
      <w:pPr>
        <w:rPr>
          <w:rFonts w:ascii="等线" w:hAnsi="等线" w:cs="等线"/>
          <w:szCs w:val="21"/>
        </w:rPr>
      </w:pPr>
    </w:p>
    <w:p w14:paraId="6C3EC6AB" w14:textId="77777777" w:rsidR="00085A76" w:rsidRDefault="00651C32">
      <w:pPr>
        <w:rPr>
          <w:rFonts w:ascii="等线" w:hAnsi="等线" w:cs="等线"/>
          <w:szCs w:val="21"/>
        </w:rPr>
      </w:pPr>
      <w:r>
        <w:rPr>
          <w:rFonts w:ascii="等线" w:hAnsi="等线" w:cs="等线" w:hint="eastAsia"/>
          <w:szCs w:val="21"/>
        </w:rPr>
        <w:t>在废水排放方面，温氏股份深入推广“三改两分再利用”工艺，通过高效清洗、废水深度处理和循环回用、家庭农场舍外发酵床技术等措施，推进养殖场、家庭农场的废水排放减量化、无害化、资源化。</w:t>
      </w:r>
    </w:p>
    <w:p w14:paraId="3F58700E" w14:textId="77777777" w:rsidR="00085A76" w:rsidRDefault="00085A76"/>
    <w:p w14:paraId="3ECF8C26" w14:textId="77777777" w:rsidR="00085A76" w:rsidRDefault="00651C32">
      <w:pPr>
        <w:numPr>
          <w:ilvl w:val="0"/>
          <w:numId w:val="7"/>
        </w:numPr>
        <w:outlineLvl w:val="1"/>
        <w:rPr>
          <w:b/>
          <w:bCs/>
        </w:rPr>
      </w:pPr>
      <w:r>
        <w:rPr>
          <w:rFonts w:hint="eastAsia"/>
          <w:b/>
          <w:bCs/>
        </w:rPr>
        <w:t>固废排放</w:t>
      </w:r>
    </w:p>
    <w:p w14:paraId="3B405716" w14:textId="77777777" w:rsidR="00085A76" w:rsidRDefault="00651C32">
      <w:pPr>
        <w:rPr>
          <w:rFonts w:ascii="等线" w:hAnsi="等线" w:cs="等线"/>
          <w:szCs w:val="21"/>
        </w:rPr>
      </w:pPr>
      <w:r>
        <w:rPr>
          <w:rFonts w:ascii="等线" w:hAnsi="等线" w:cs="等线" w:hint="eastAsia"/>
          <w:szCs w:val="21"/>
        </w:rPr>
        <w:t>温氏股份遵循“减量化、无害化、资源化”原则，从畜禽粪便处理与病死畜禽处理两个方向采取措施。</w:t>
      </w:r>
    </w:p>
    <w:p w14:paraId="2E59B332" w14:textId="77777777" w:rsidR="00085A76" w:rsidRDefault="00085A76">
      <w:pPr>
        <w:rPr>
          <w:rFonts w:ascii="等线" w:hAnsi="等线" w:cs="等线"/>
          <w:szCs w:val="21"/>
        </w:rPr>
      </w:pPr>
    </w:p>
    <w:p w14:paraId="423C5497" w14:textId="77777777" w:rsidR="00085A76" w:rsidRDefault="00651C32">
      <w:pPr>
        <w:rPr>
          <w:rFonts w:ascii="等线" w:hAnsi="等线" w:cs="等线"/>
          <w:szCs w:val="21"/>
        </w:rPr>
      </w:pPr>
      <w:r>
        <w:rPr>
          <w:rFonts w:ascii="等线" w:hAnsi="等线" w:cs="等线" w:hint="eastAsia"/>
          <w:szCs w:val="21"/>
        </w:rPr>
        <w:t>在畜禽粪便处理上，所有养殖场均采用密闭式堆肥反应器、槽式发酵车间、粪便处理中心等粪便处理设施，把畜禽粪便高温发酵处理得到的产品再进行农业利用；家庭农场采用舍外降解床等技术，把养殖过程中产生的粪污完全降解。</w:t>
      </w:r>
    </w:p>
    <w:p w14:paraId="1F85ED04" w14:textId="77777777" w:rsidR="00085A76" w:rsidRDefault="00085A76">
      <w:pPr>
        <w:rPr>
          <w:rFonts w:ascii="等线" w:hAnsi="等线" w:cs="等线"/>
          <w:szCs w:val="21"/>
        </w:rPr>
      </w:pPr>
    </w:p>
    <w:p w14:paraId="6FE262DB" w14:textId="77777777" w:rsidR="00085A76" w:rsidRDefault="00651C32">
      <w:pPr>
        <w:rPr>
          <w:rFonts w:ascii="等线" w:hAnsi="等线" w:cs="等线"/>
          <w:szCs w:val="21"/>
        </w:rPr>
      </w:pPr>
      <w:r>
        <w:rPr>
          <w:rFonts w:ascii="等线" w:hAnsi="等线" w:cs="等线" w:hint="eastAsia"/>
          <w:szCs w:val="21"/>
        </w:rPr>
        <w:t>在病死畜禽处理上，所有养殖场均配套了无害化处理机，病死畜禽经过无害化处理高温发酵降解，出料后可作为安全、高效的有机肥料进行资源化利用，充分实现了减量化、无害化、资源化处理。</w:t>
      </w:r>
    </w:p>
    <w:p w14:paraId="5AF7526F" w14:textId="77777777" w:rsidR="00085A76" w:rsidRDefault="00085A76">
      <w:pPr>
        <w:rPr>
          <w:rFonts w:ascii="等线" w:hAnsi="等线" w:cs="等线"/>
          <w:szCs w:val="21"/>
        </w:rPr>
      </w:pPr>
    </w:p>
    <w:p w14:paraId="5D22554C" w14:textId="77777777" w:rsidR="00085A76" w:rsidRDefault="00651C32">
      <w:pPr>
        <w:numPr>
          <w:ilvl w:val="0"/>
          <w:numId w:val="5"/>
        </w:numPr>
        <w:ind w:firstLine="0"/>
        <w:outlineLvl w:val="0"/>
        <w:rPr>
          <w:b/>
          <w:bCs/>
          <w:sz w:val="24"/>
          <w:szCs w:val="32"/>
        </w:rPr>
      </w:pPr>
      <w:r>
        <w:rPr>
          <w:rFonts w:hint="eastAsia"/>
          <w:b/>
          <w:bCs/>
          <w:sz w:val="24"/>
          <w:szCs w:val="32"/>
        </w:rPr>
        <w:t>跟踪关注与信息披露</w:t>
      </w:r>
    </w:p>
    <w:p w14:paraId="092F30CF" w14:textId="77777777" w:rsidR="00085A76" w:rsidRDefault="00651C32">
      <w:pPr>
        <w:rPr>
          <w:rFonts w:ascii="等线" w:hAnsi="等线" w:cs="等线"/>
          <w:szCs w:val="21"/>
        </w:rPr>
      </w:pPr>
      <w:r>
        <w:rPr>
          <w:rFonts w:ascii="等线" w:hAnsi="等线" w:cs="等线" w:hint="eastAsia"/>
          <w:szCs w:val="21"/>
        </w:rPr>
        <w:t>温氏股份</w:t>
      </w:r>
      <w:r>
        <w:rPr>
          <w:rFonts w:hint="eastAsia"/>
        </w:rPr>
        <w:t>认识到气候变化对公司经营和人类健康的重要影响，</w:t>
      </w:r>
      <w:r>
        <w:rPr>
          <w:rFonts w:ascii="等线" w:hAnsi="等线" w:cs="等线" w:hint="eastAsia"/>
          <w:szCs w:val="21"/>
        </w:rPr>
        <w:t>将持续关注气候变化对公司造</w:t>
      </w:r>
      <w:r>
        <w:rPr>
          <w:rFonts w:ascii="等线" w:hAnsi="等线" w:cs="等线" w:hint="eastAsia"/>
          <w:szCs w:val="21"/>
        </w:rPr>
        <w:lastRenderedPageBreak/>
        <w:t>成的影响和国内外企业环境管理工作的发展趋势，不断审视和评估对公司具有影响的气候与环境风险，并有针对性地调整相关工作。我们将</w:t>
      </w:r>
      <w:r>
        <w:rPr>
          <w:rFonts w:hint="eastAsia"/>
        </w:rPr>
        <w:t>每年开展全面的内部能源消耗与碳排放审计，并通过</w:t>
      </w:r>
      <w:r>
        <w:rPr>
          <w:rFonts w:ascii="等线" w:hAnsi="等线" w:cs="等线" w:hint="eastAsia"/>
          <w:szCs w:val="21"/>
        </w:rPr>
        <w:t>年度企业社会责任报告详细阐述相关实践与进展。</w:t>
      </w:r>
    </w:p>
    <w:p w14:paraId="727033C3" w14:textId="77777777" w:rsidR="00085A76" w:rsidRDefault="00085A76">
      <w:pPr>
        <w:rPr>
          <w:rFonts w:ascii="等线" w:hAnsi="等线" w:cs="等线"/>
          <w:szCs w:val="21"/>
        </w:rPr>
      </w:pPr>
    </w:p>
    <w:p w14:paraId="557EB361" w14:textId="77777777" w:rsidR="00085A76" w:rsidRDefault="00651C32">
      <w:pPr>
        <w:numPr>
          <w:ilvl w:val="0"/>
          <w:numId w:val="5"/>
        </w:numPr>
        <w:ind w:firstLine="0"/>
        <w:outlineLvl w:val="0"/>
        <w:rPr>
          <w:b/>
          <w:bCs/>
          <w:sz w:val="24"/>
          <w:szCs w:val="32"/>
        </w:rPr>
      </w:pPr>
      <w:r>
        <w:rPr>
          <w:rFonts w:hint="eastAsia"/>
          <w:b/>
          <w:bCs/>
          <w:sz w:val="24"/>
          <w:szCs w:val="32"/>
        </w:rPr>
        <w:t>传阅与修订</w:t>
      </w:r>
    </w:p>
    <w:p w14:paraId="78B46DAC" w14:textId="77777777" w:rsidR="00085A76" w:rsidRDefault="00651C32">
      <w:pPr>
        <w:rPr>
          <w:rFonts w:ascii="等线" w:hAnsi="等线" w:cs="等线"/>
          <w:szCs w:val="21"/>
        </w:rPr>
      </w:pPr>
      <w:r>
        <w:rPr>
          <w:rFonts w:ascii="等线" w:hAnsi="等线" w:cs="等线" w:hint="eastAsia"/>
          <w:szCs w:val="21"/>
        </w:rPr>
        <w:t>温氏股份保留随时修订、更改或废止本管理政策的权利。温氏股份将定期审阅本政策，并在必要时予以修订。本政策的最新版本于温氏股份官方网站(</w:t>
      </w:r>
      <w:r>
        <w:rPr>
          <w:rFonts w:ascii="等线" w:hAnsi="等线" w:cs="等线"/>
          <w:szCs w:val="21"/>
        </w:rPr>
        <w:t>https://www.wens.com.cn</w:t>
      </w:r>
      <w:r>
        <w:rPr>
          <w:rFonts w:ascii="等线" w:hAnsi="等线" w:cs="等线" w:hint="eastAsia"/>
          <w:szCs w:val="21"/>
        </w:rPr>
        <w:t>)进行披露。</w:t>
      </w:r>
    </w:p>
    <w:sectPr w:rsidR="00085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D8B8" w14:textId="77777777" w:rsidR="000E2C4E" w:rsidRDefault="000E2C4E" w:rsidP="008D0893">
      <w:pPr>
        <w:spacing w:line="240" w:lineRule="auto"/>
      </w:pPr>
      <w:r>
        <w:separator/>
      </w:r>
    </w:p>
  </w:endnote>
  <w:endnote w:type="continuationSeparator" w:id="0">
    <w:p w14:paraId="2916F1D0" w14:textId="77777777" w:rsidR="000E2C4E" w:rsidRDefault="000E2C4E" w:rsidP="008D0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8967" w14:textId="77777777" w:rsidR="000E2C4E" w:rsidRDefault="000E2C4E" w:rsidP="008D0893">
      <w:pPr>
        <w:spacing w:line="240" w:lineRule="auto"/>
      </w:pPr>
      <w:r>
        <w:separator/>
      </w:r>
    </w:p>
  </w:footnote>
  <w:footnote w:type="continuationSeparator" w:id="0">
    <w:p w14:paraId="70659F28" w14:textId="77777777" w:rsidR="000E2C4E" w:rsidRDefault="000E2C4E" w:rsidP="008D08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1B8BE"/>
    <w:multiLevelType w:val="singleLevel"/>
    <w:tmpl w:val="8261B8BE"/>
    <w:lvl w:ilvl="0">
      <w:start w:val="1"/>
      <w:numFmt w:val="decimal"/>
      <w:lvlText w:val="%1."/>
      <w:lvlJc w:val="left"/>
      <w:pPr>
        <w:ind w:left="425" w:hanging="425"/>
      </w:pPr>
      <w:rPr>
        <w:rFonts w:hint="default"/>
      </w:rPr>
    </w:lvl>
  </w:abstractNum>
  <w:abstractNum w:abstractNumId="1" w15:restartNumberingAfterBreak="0">
    <w:nsid w:val="8B530337"/>
    <w:multiLevelType w:val="multilevel"/>
    <w:tmpl w:val="8B530337"/>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E11F3AB2"/>
    <w:multiLevelType w:val="multilevel"/>
    <w:tmpl w:val="E11F3AB2"/>
    <w:lvl w:ilvl="0">
      <w:start w:val="1"/>
      <w:numFmt w:val="decimal"/>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1B7138FA"/>
    <w:multiLevelType w:val="multilevel"/>
    <w:tmpl w:val="1B7138FA"/>
    <w:lvl w:ilvl="0">
      <w:start w:val="1"/>
      <w:numFmt w:val="decimal"/>
      <w:pStyle w:val="10"/>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4" w15:restartNumberingAfterBreak="0">
    <w:nsid w:val="5E9276F3"/>
    <w:multiLevelType w:val="singleLevel"/>
    <w:tmpl w:val="5E9276F3"/>
    <w:lvl w:ilvl="0">
      <w:start w:val="1"/>
      <w:numFmt w:val="decimal"/>
      <w:lvlText w:val="%1."/>
      <w:lvlJc w:val="left"/>
      <w:pPr>
        <w:tabs>
          <w:tab w:val="left" w:pos="420"/>
        </w:tabs>
        <w:ind w:left="425" w:hanging="425"/>
      </w:pPr>
      <w:rPr>
        <w:rFonts w:ascii="等线" w:eastAsia="等线" w:hAnsi="等线" w:hint="default"/>
      </w:rPr>
    </w:lvl>
  </w:abstractNum>
  <w:abstractNum w:abstractNumId="5" w15:restartNumberingAfterBreak="0">
    <w:nsid w:val="5F276360"/>
    <w:multiLevelType w:val="singleLevel"/>
    <w:tmpl w:val="5F276360"/>
    <w:lvl w:ilvl="0">
      <w:start w:val="1"/>
      <w:numFmt w:val="chineseCounting"/>
      <w:suff w:val="nothing"/>
      <w:lvlText w:val="%1、"/>
      <w:lvlJc w:val="left"/>
      <w:pPr>
        <w:ind w:left="0" w:firstLine="420"/>
      </w:pPr>
      <w:rPr>
        <w:rFonts w:hint="eastAsia"/>
      </w:rPr>
    </w:lvl>
  </w:abstractNum>
  <w:abstractNum w:abstractNumId="6" w15:restartNumberingAfterBreak="0">
    <w:nsid w:val="765C14CC"/>
    <w:multiLevelType w:val="singleLevel"/>
    <w:tmpl w:val="765C14CC"/>
    <w:lvl w:ilvl="0">
      <w:start w:val="1"/>
      <w:numFmt w:val="decimal"/>
      <w:lvlText w:val="%1."/>
      <w:lvlJc w:val="left"/>
      <w:pPr>
        <w:tabs>
          <w:tab w:val="left" w:pos="420"/>
        </w:tabs>
        <w:ind w:left="425" w:hanging="425"/>
      </w:pPr>
      <w:rPr>
        <w:rFonts w:ascii="等线" w:eastAsia="等线" w:hAnsi="等线"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7B1430"/>
    <w:rsid w:val="00013B6D"/>
    <w:rsid w:val="0005130D"/>
    <w:rsid w:val="00085A76"/>
    <w:rsid w:val="000A5E1B"/>
    <w:rsid w:val="000E2C4E"/>
    <w:rsid w:val="0010748E"/>
    <w:rsid w:val="00144D05"/>
    <w:rsid w:val="00210C98"/>
    <w:rsid w:val="0028040A"/>
    <w:rsid w:val="00294186"/>
    <w:rsid w:val="002E1329"/>
    <w:rsid w:val="004838BE"/>
    <w:rsid w:val="004861FB"/>
    <w:rsid w:val="00486739"/>
    <w:rsid w:val="004D66CD"/>
    <w:rsid w:val="005129D2"/>
    <w:rsid w:val="005440A9"/>
    <w:rsid w:val="005A441A"/>
    <w:rsid w:val="005D6995"/>
    <w:rsid w:val="00651C32"/>
    <w:rsid w:val="00686F7C"/>
    <w:rsid w:val="00716303"/>
    <w:rsid w:val="00726B28"/>
    <w:rsid w:val="00742C9C"/>
    <w:rsid w:val="00781DC2"/>
    <w:rsid w:val="00791BC7"/>
    <w:rsid w:val="00882B94"/>
    <w:rsid w:val="008930B8"/>
    <w:rsid w:val="008B6E34"/>
    <w:rsid w:val="008D0893"/>
    <w:rsid w:val="009069E3"/>
    <w:rsid w:val="0095184D"/>
    <w:rsid w:val="009912B8"/>
    <w:rsid w:val="009A2C90"/>
    <w:rsid w:val="00A307E6"/>
    <w:rsid w:val="00A46F1B"/>
    <w:rsid w:val="00CA05E7"/>
    <w:rsid w:val="00CC3E6B"/>
    <w:rsid w:val="00CF5DF6"/>
    <w:rsid w:val="00D00AE7"/>
    <w:rsid w:val="00D9302F"/>
    <w:rsid w:val="00DB5E02"/>
    <w:rsid w:val="00E060C0"/>
    <w:rsid w:val="00F05066"/>
    <w:rsid w:val="00F45F82"/>
    <w:rsid w:val="00FB556F"/>
    <w:rsid w:val="01897B3A"/>
    <w:rsid w:val="022D06A0"/>
    <w:rsid w:val="033B7390"/>
    <w:rsid w:val="03520FD9"/>
    <w:rsid w:val="04490937"/>
    <w:rsid w:val="066608C8"/>
    <w:rsid w:val="08D66244"/>
    <w:rsid w:val="09523927"/>
    <w:rsid w:val="0A5119A0"/>
    <w:rsid w:val="0AE53BDB"/>
    <w:rsid w:val="0AF27EA2"/>
    <w:rsid w:val="0B41235B"/>
    <w:rsid w:val="0B470089"/>
    <w:rsid w:val="0DA02900"/>
    <w:rsid w:val="0DA27425"/>
    <w:rsid w:val="0E933365"/>
    <w:rsid w:val="0EA27116"/>
    <w:rsid w:val="13E519EF"/>
    <w:rsid w:val="14987785"/>
    <w:rsid w:val="18B55160"/>
    <w:rsid w:val="18C6702E"/>
    <w:rsid w:val="1A844EE8"/>
    <w:rsid w:val="1DAD1B20"/>
    <w:rsid w:val="1ED40B14"/>
    <w:rsid w:val="20272475"/>
    <w:rsid w:val="215C47E7"/>
    <w:rsid w:val="21755EE8"/>
    <w:rsid w:val="21FD1103"/>
    <w:rsid w:val="2232740E"/>
    <w:rsid w:val="24F31C01"/>
    <w:rsid w:val="25306D38"/>
    <w:rsid w:val="256030A1"/>
    <w:rsid w:val="25C36B3B"/>
    <w:rsid w:val="26434AFB"/>
    <w:rsid w:val="268678CA"/>
    <w:rsid w:val="26CA4477"/>
    <w:rsid w:val="27172F54"/>
    <w:rsid w:val="2A2E4E47"/>
    <w:rsid w:val="2ACA7351"/>
    <w:rsid w:val="2BD001ED"/>
    <w:rsid w:val="2C944C20"/>
    <w:rsid w:val="2D417BEC"/>
    <w:rsid w:val="2DF66D43"/>
    <w:rsid w:val="2DFD1D36"/>
    <w:rsid w:val="30A05779"/>
    <w:rsid w:val="3363377A"/>
    <w:rsid w:val="356F1DF4"/>
    <w:rsid w:val="35DB6FA1"/>
    <w:rsid w:val="36B72C9D"/>
    <w:rsid w:val="37D56795"/>
    <w:rsid w:val="3BAB27CD"/>
    <w:rsid w:val="3BE02DA3"/>
    <w:rsid w:val="3C4D452D"/>
    <w:rsid w:val="3CC94023"/>
    <w:rsid w:val="3DFD3203"/>
    <w:rsid w:val="3F660FC7"/>
    <w:rsid w:val="414624DA"/>
    <w:rsid w:val="43E3013F"/>
    <w:rsid w:val="44770CBA"/>
    <w:rsid w:val="470B689C"/>
    <w:rsid w:val="47865640"/>
    <w:rsid w:val="47D651AD"/>
    <w:rsid w:val="49E83A8B"/>
    <w:rsid w:val="4C0E3814"/>
    <w:rsid w:val="4C2B0F93"/>
    <w:rsid w:val="4C9A19B5"/>
    <w:rsid w:val="4CDE201C"/>
    <w:rsid w:val="4DC57A78"/>
    <w:rsid w:val="4FA96720"/>
    <w:rsid w:val="50F13FF0"/>
    <w:rsid w:val="51660635"/>
    <w:rsid w:val="52D12EA8"/>
    <w:rsid w:val="52F61A27"/>
    <w:rsid w:val="53DA16A7"/>
    <w:rsid w:val="54F20AFF"/>
    <w:rsid w:val="550023C0"/>
    <w:rsid w:val="55B4176E"/>
    <w:rsid w:val="561E46D8"/>
    <w:rsid w:val="57D4191A"/>
    <w:rsid w:val="5A691170"/>
    <w:rsid w:val="5A990A43"/>
    <w:rsid w:val="5AED731F"/>
    <w:rsid w:val="5B0F0314"/>
    <w:rsid w:val="5B4E794A"/>
    <w:rsid w:val="5CD624A6"/>
    <w:rsid w:val="5E1E38F4"/>
    <w:rsid w:val="60A2713D"/>
    <w:rsid w:val="61D7006C"/>
    <w:rsid w:val="61EC77E2"/>
    <w:rsid w:val="636F54EC"/>
    <w:rsid w:val="646A3C99"/>
    <w:rsid w:val="65F7084E"/>
    <w:rsid w:val="687A1DDA"/>
    <w:rsid w:val="68FF3696"/>
    <w:rsid w:val="6900432E"/>
    <w:rsid w:val="697C5E13"/>
    <w:rsid w:val="6A9A656F"/>
    <w:rsid w:val="6B296D45"/>
    <w:rsid w:val="6FA44488"/>
    <w:rsid w:val="717C0AC3"/>
    <w:rsid w:val="72EA4805"/>
    <w:rsid w:val="74091443"/>
    <w:rsid w:val="747B1430"/>
    <w:rsid w:val="754B3BF9"/>
    <w:rsid w:val="75AE35C4"/>
    <w:rsid w:val="77D82442"/>
    <w:rsid w:val="79395F3F"/>
    <w:rsid w:val="79DB09E1"/>
    <w:rsid w:val="7BF563DB"/>
    <w:rsid w:val="7C5613E5"/>
    <w:rsid w:val="7C7953FE"/>
    <w:rsid w:val="7CA477BA"/>
    <w:rsid w:val="7D5126D9"/>
    <w:rsid w:val="7E627ED6"/>
    <w:rsid w:val="7F0C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9784"/>
  <w15:docId w15:val="{89CF09B8-5174-4DE9-AD56-8C7A639F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Theme="minorHAnsi" w:eastAsia="等线" w:hAnsiTheme="minorHAnsi" w:cstheme="minorBidi"/>
      <w:kern w:val="2"/>
      <w:sz w:val="21"/>
      <w:szCs w:val="24"/>
    </w:rPr>
  </w:style>
  <w:style w:type="paragraph" w:styleId="10">
    <w:name w:val="heading 1"/>
    <w:basedOn w:val="a"/>
    <w:next w:val="a"/>
    <w:link w:val="11"/>
    <w:qFormat/>
    <w:pPr>
      <w:keepNext/>
      <w:keepLines/>
      <w:numPr>
        <w:numId w:val="1"/>
      </w:numPr>
      <w:ind w:left="0" w:firstLine="0"/>
      <w:outlineLvl w:val="0"/>
    </w:pPr>
    <w:rPr>
      <w:rFonts w:ascii="Verdana" w:hAnsi="Verdana" w:cs="Times New Roman"/>
      <w:kern w:val="44"/>
      <w:szCs w:val="21"/>
    </w:rPr>
  </w:style>
  <w:style w:type="paragraph" w:styleId="2">
    <w:name w:val="heading 2"/>
    <w:basedOn w:val="a"/>
    <w:next w:val="a"/>
    <w:link w:val="20"/>
    <w:semiHidden/>
    <w:unhideWhenUsed/>
    <w:qFormat/>
    <w:pPr>
      <w:keepNext/>
      <w:keepLines/>
      <w:numPr>
        <w:ilvl w:val="1"/>
        <w:numId w:val="2"/>
      </w:numPr>
      <w:ind w:left="0" w:firstLine="0"/>
      <w:outlineLvl w:val="1"/>
    </w:pPr>
    <w:rPr>
      <w:rFonts w:ascii="Arial" w:hAnsi="Arial"/>
      <w:b/>
      <w:sz w:val="28"/>
      <w:u w:val="single"/>
    </w:rPr>
  </w:style>
  <w:style w:type="paragraph" w:styleId="3">
    <w:name w:val="heading 3"/>
    <w:basedOn w:val="a"/>
    <w:next w:val="a"/>
    <w:link w:val="30"/>
    <w:semiHidden/>
    <w:unhideWhenUsed/>
    <w:qFormat/>
    <w:pPr>
      <w:keepNext/>
      <w:keepLines/>
      <w:numPr>
        <w:ilvl w:val="2"/>
        <w:numId w:val="1"/>
      </w:numPr>
      <w:outlineLvl w:val="2"/>
    </w:pPr>
    <w:rPr>
      <w:rFonts w:ascii="Verdana" w:hAnsi="Verdana"/>
      <w:bCs/>
      <w:szCs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next w:val="a"/>
    <w:link w:val="a4"/>
    <w:qFormat/>
    <w:rPr>
      <w:rFonts w:ascii="Verdana" w:hAnsi="Verdana"/>
    </w:rPr>
  </w:style>
  <w:style w:type="paragraph" w:styleId="21">
    <w:name w:val="Body Text 2"/>
    <w:basedOn w:val="a"/>
    <w:qFormat/>
    <w:pPr>
      <w:spacing w:after="120" w:line="480" w:lineRule="auto"/>
    </w:pPr>
  </w:style>
  <w:style w:type="paragraph" w:styleId="a5">
    <w:name w:val="annotation subject"/>
    <w:basedOn w:val="a3"/>
    <w:next w:val="a3"/>
    <w:link w:val="a6"/>
    <w:qFormat/>
    <w:pPr>
      <w:jc w:val="left"/>
    </w:pPr>
    <w:rPr>
      <w:rFonts w:asciiTheme="minorHAnsi" w:hAnsiTheme="minorHAnsi"/>
      <w:b/>
      <w:bCs/>
    </w:rPr>
  </w:style>
  <w:style w:type="character" w:styleId="a7">
    <w:name w:val="annotation reference"/>
    <w:basedOn w:val="a0"/>
    <w:qFormat/>
    <w:rPr>
      <w:sz w:val="21"/>
      <w:szCs w:val="21"/>
    </w:rPr>
  </w:style>
  <w:style w:type="character" w:customStyle="1" w:styleId="20">
    <w:name w:val="标题 2 字符"/>
    <w:basedOn w:val="a0"/>
    <w:link w:val="2"/>
    <w:uiPriority w:val="9"/>
    <w:qFormat/>
    <w:rPr>
      <w:rFonts w:ascii="Arial" w:eastAsia="等线" w:hAnsi="Arial" w:cstheme="majorBidi"/>
      <w:b/>
      <w:bCs/>
      <w:sz w:val="24"/>
      <w:szCs w:val="32"/>
    </w:rPr>
  </w:style>
  <w:style w:type="character" w:customStyle="1" w:styleId="11">
    <w:name w:val="标题 1 字符"/>
    <w:basedOn w:val="a0"/>
    <w:link w:val="10"/>
    <w:uiPriority w:val="9"/>
    <w:qFormat/>
    <w:rPr>
      <w:rFonts w:ascii="Verdana" w:eastAsia="等线" w:hAnsi="Verdana" w:cs="Times New Roman"/>
      <w:bCs/>
      <w:kern w:val="44"/>
      <w:sz w:val="21"/>
      <w:szCs w:val="21"/>
    </w:rPr>
  </w:style>
  <w:style w:type="character" w:customStyle="1" w:styleId="30">
    <w:name w:val="标题 3 字符"/>
    <w:basedOn w:val="a0"/>
    <w:link w:val="3"/>
    <w:uiPriority w:val="9"/>
    <w:qFormat/>
    <w:rPr>
      <w:rFonts w:ascii="Verdana" w:eastAsia="等线" w:hAnsi="Verdana"/>
      <w:bCs/>
      <w:sz w:val="21"/>
      <w:szCs w:val="32"/>
    </w:rPr>
  </w:style>
  <w:style w:type="paragraph" w:customStyle="1" w:styleId="1">
    <w:name w:val="样式1"/>
    <w:basedOn w:val="a"/>
    <w:next w:val="a"/>
    <w:qFormat/>
    <w:pPr>
      <w:keepNext/>
      <w:keepLines/>
      <w:numPr>
        <w:numId w:val="3"/>
      </w:numPr>
      <w:ind w:left="0" w:firstLine="0"/>
    </w:pPr>
    <w:rPr>
      <w:rFonts w:ascii="Verdana" w:hAnsi="Verdana" w:hint="eastAsia"/>
      <w:kern w:val="44"/>
    </w:rPr>
  </w:style>
  <w:style w:type="paragraph" w:customStyle="1" w:styleId="22">
    <w:name w:val="样式2"/>
    <w:basedOn w:val="21"/>
    <w:next w:val="a"/>
    <w:qFormat/>
    <w:pPr>
      <w:keepNext/>
      <w:keepLines/>
      <w:spacing w:line="360" w:lineRule="auto"/>
    </w:pPr>
    <w:rPr>
      <w:rFonts w:ascii="Verdana" w:eastAsiaTheme="minorEastAsia" w:hAnsi="Verdana" w:cs="Times New Roman" w:hint="eastAsia"/>
    </w:rPr>
  </w:style>
  <w:style w:type="character" w:customStyle="1" w:styleId="fontstyle01">
    <w:name w:val="fontstyle01"/>
    <w:basedOn w:val="a0"/>
    <w:qFormat/>
    <w:rPr>
      <w:rFonts w:ascii="宋体" w:eastAsia="宋体" w:hAnsi="宋体" w:cs="宋体" w:hint="eastAsia"/>
      <w:color w:val="000000"/>
      <w:sz w:val="24"/>
      <w:szCs w:val="24"/>
    </w:rPr>
  </w:style>
  <w:style w:type="character" w:customStyle="1" w:styleId="a4">
    <w:name w:val="批注文字 字符"/>
    <w:basedOn w:val="a0"/>
    <w:link w:val="a3"/>
    <w:qFormat/>
    <w:rPr>
      <w:rFonts w:ascii="Verdana" w:eastAsia="等线" w:hAnsi="Verdana" w:cstheme="minorBidi"/>
      <w:kern w:val="2"/>
      <w:sz w:val="21"/>
      <w:szCs w:val="24"/>
    </w:rPr>
  </w:style>
  <w:style w:type="character" w:customStyle="1" w:styleId="a6">
    <w:name w:val="批注主题 字符"/>
    <w:basedOn w:val="a4"/>
    <w:link w:val="a5"/>
    <w:qFormat/>
    <w:rPr>
      <w:rFonts w:asciiTheme="minorHAnsi" w:eastAsia="等线" w:hAnsiTheme="minorHAnsi" w:cstheme="minorBidi"/>
      <w:b/>
      <w:bCs/>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semiHidden/>
    <w:rsid w:val="008D0893"/>
    <w:rPr>
      <w:rFonts w:asciiTheme="minorHAnsi" w:eastAsia="等线" w:hAnsiTheme="minorHAnsi" w:cstheme="minorBidi"/>
      <w:kern w:val="2"/>
      <w:sz w:val="21"/>
      <w:szCs w:val="24"/>
    </w:rPr>
  </w:style>
  <w:style w:type="paragraph" w:styleId="aa">
    <w:name w:val="header"/>
    <w:basedOn w:val="a"/>
    <w:link w:val="ab"/>
    <w:rsid w:val="008D0893"/>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0"/>
    <w:link w:val="aa"/>
    <w:rsid w:val="008D0893"/>
    <w:rPr>
      <w:rFonts w:asciiTheme="minorHAnsi" w:eastAsia="等线" w:hAnsiTheme="minorHAnsi" w:cstheme="minorBidi"/>
      <w:kern w:val="2"/>
      <w:sz w:val="18"/>
      <w:szCs w:val="18"/>
    </w:rPr>
  </w:style>
  <w:style w:type="paragraph" w:styleId="ac">
    <w:name w:val="footer"/>
    <w:basedOn w:val="a"/>
    <w:link w:val="ad"/>
    <w:rsid w:val="008D0893"/>
    <w:pPr>
      <w:tabs>
        <w:tab w:val="center" w:pos="4153"/>
        <w:tab w:val="right" w:pos="8306"/>
      </w:tabs>
      <w:snapToGrid w:val="0"/>
      <w:spacing w:line="240" w:lineRule="auto"/>
      <w:jc w:val="left"/>
    </w:pPr>
    <w:rPr>
      <w:sz w:val="18"/>
      <w:szCs w:val="18"/>
    </w:rPr>
  </w:style>
  <w:style w:type="character" w:customStyle="1" w:styleId="ad">
    <w:name w:val="页脚 字符"/>
    <w:basedOn w:val="a0"/>
    <w:link w:val="ac"/>
    <w:rsid w:val="008D0893"/>
    <w:rPr>
      <w:rFonts w:asciiTheme="minorHAnsi" w:eastAsia="等线"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商道华南</dc:creator>
  <cp:lastModifiedBy>史志茹</cp:lastModifiedBy>
  <cp:revision>7</cp:revision>
  <dcterms:created xsi:type="dcterms:W3CDTF">2021-07-19T09:49:00Z</dcterms:created>
  <dcterms:modified xsi:type="dcterms:W3CDTF">2021-08-02T13:47:00Z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2D3570B972854CAABE3687632F9D0750</vt:lpwstr>
  </property>
</Properties>
</file>